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8" w:lineRule="auto"/>
        <w:ind w:left="0" w:right="11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bookmark6"/>
      <w:bookmarkEnd w:id="0"/>
      <w:bookmarkStart w:id="1" w:name="_bookmark5"/>
      <w:bookmarkEnd w:id="1"/>
      <w:bookmarkStart w:id="2" w:name="_bookmark3"/>
      <w:bookmarkEnd w:id="2"/>
      <w:bookmarkStart w:id="3" w:name="_bookmark7"/>
      <w:bookmarkEnd w:id="3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六年制临床医学专业（英语授课）人才培养方案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一、培养目标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培养热衷服务健康事业，具备良好职业素养，掌握生物医学和临床医学的基础知识、基本理论和基本技能，具有一定的公共卫生和预防医学知识、自然科学和人文社会科学知识，敬佑生命，具有一定的从业基础，在上级医师指导下能够从事安全有效的医疗实践，初步具备大健康理念、创新精神、国际视野、临床能力、终身学习能力，能适应医学进步环境，知华、友华的合格的医学毕业生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二、培养要求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（一）思想道德与职业素质方面</w:t>
      </w:r>
      <w:bookmarkStart w:id="5" w:name="_GoBack"/>
      <w:bookmarkEnd w:id="5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愿为卫生事业的发展和人类身心健康奋斗终生。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具有爱岗敬业、团结协作的职业精神，有职业的责任感、认同感及使命感。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关爱病人，能给予病人足够人文关怀，将预防疾病、驱除病痛作为自己的终身责任，将提供临终关怀作为自己的道德责任，将维护民众的健康利益作为自己的职业责任。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具有“敬佑生命、救死扶伤、甘于奉献、大爱无疆”的医者精神，保护并促进个体和人群健康的责任意识。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具有与病人及其家属进行交流的意识，使他们充分参与和配合治疗计划。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尊重病人的隐私和人格，尊重病人的个人信仰。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实事求是，始终把民众生命安全和健康放在首位，对于自己不能胜任和安全处理的医疗问题，应该主动寻求其他医师帮助。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在应用各种可能的技术去追求准确的诊断或改变疾病的进程时，应考虑到病人及其家属的利益，并注意发挥可用卫生资源的最大效益。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具有科学态度、创新意识、分析批判精神以及集体主义精神。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了解卫生工作方针、政策和法规，树立依法行医的法律观念，学会用法律保护病人和自身的权益，具有参与社会公共事务、化解矛盾纠纷的意识和能力。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具有崇高的敬业精神和优良的医德医风。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（二）知识与技能方面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掌握基本汉语知识，毕业时中文能力应当至少达到《国际汉语能力标准》四级水平，了解中国的文化及概况。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掌握与医学相关的基础知识和科学方法，并能用于指导未来的学习和医学实践。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掌握系统的基础医学和临床医学知识；一定的临床基本操作技能；基本的药理知识及临床合理用药原则；一定的预防医学知识。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掌握各种常见病、多发病（包括精神疾病）的发病原因、影响因素、发病机理、临床表现、诊断及防治原则。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掌握全科医生基本知识，掌握健康教育、疾病预防和筛查的原则。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掌握临床流行病学的有关知识与方法，理解科学实验在医学研究中的重要作用。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掌握传染病的发生、发展以及传播的基本规律及常见传染病的防治原则，能参与到重大公共卫生事件的处理。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具有全面系统正确地采集病史、进行体格及精神检查和规范书写病历的能力。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具有根据具体情况选择使用最合适的、最经济的诊断、治疗手段的能力。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运用循证医学的原理，针对临床问题进行查证、用证的初步能力。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具有对常见病、多发病和地方性疾病进行诊断和治疗，对急、难、重病进行初步处理的能力。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具备基本的疾病预防和健康宣传教育能力。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具备一定的交流与沟通能力。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bidi="ar-SA"/>
        </w:rPr>
        <w:t>具备自主学习和终身学习能力。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三、主干学科和主要课程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sz w:val="24"/>
          <w:szCs w:val="24"/>
          <w:lang w:val="en-US" w:bidi="ar-SA"/>
        </w:rPr>
        <w:t>（一）主干学科：自然科学、生物医学、公共卫生、临床医学、汉语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bidi="ar-SA"/>
        </w:rPr>
      </w:pPr>
      <w:r>
        <w:rPr>
          <w:rFonts w:hint="eastAsia" w:ascii="仿宋" w:hAnsi="仿宋" w:eastAsia="仿宋" w:cs="仿宋"/>
          <w:sz w:val="24"/>
          <w:szCs w:val="24"/>
          <w:lang w:val="en-US" w:bidi="ar-SA"/>
        </w:rPr>
        <w:t>（二）主要课程：体育、汉语、医学汉语、中国概况、医学伦理学、医学心理学、医用物理、高等数学、基础化学、有机化学、细胞生物学、解剖学、组织学与胚胎学、生理学生物化学、医学免疫学、病理学、医学遗传学、医学微生物学、药理学、病理生理学、人体寄生虫学、医学统计学、预防医学、流行病学与循证医学、全科医学概论、临床技能学、诊断学、外科学总论、内科学、外科学、妇产科学、儿科学、医学影像学、麻醉学、法医学、传染病学、神经病学、精神病学、眼科学、耳鼻咽喉科学、皮肤性病学、老年医学、口腔科学、临床肿瘤学、中医学等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四、主要实践教学环节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（一）临床技能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培训</w:t>
      </w:r>
      <w:r>
        <w:rPr>
          <w:rFonts w:hint="eastAsia" w:ascii="仿宋" w:hAnsi="仿宋" w:eastAsia="仿宋" w:cs="仿宋"/>
          <w:sz w:val="24"/>
          <w:szCs w:val="24"/>
        </w:rPr>
        <w:t>，安排在第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-SA"/>
        </w:rPr>
        <w:t>1～10学</w:t>
      </w:r>
      <w:r>
        <w:rPr>
          <w:rFonts w:hint="eastAsia" w:ascii="仿宋" w:hAnsi="仿宋" w:eastAsia="仿宋" w:cs="仿宋"/>
          <w:sz w:val="24"/>
          <w:szCs w:val="24"/>
        </w:rPr>
        <w:t>期，93学时，计3学分。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（二）社会（社区）实践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周，计2学分。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（三）毕业实习52周，安排在第10～12学期，计48学分。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五、课程设置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（一）必修课程：共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36</w:t>
      </w:r>
      <w:r>
        <w:rPr>
          <w:rFonts w:hint="eastAsia" w:ascii="仿宋" w:hAnsi="仿宋" w:eastAsia="仿宋" w:cs="仿宋"/>
          <w:sz w:val="24"/>
          <w:szCs w:val="24"/>
        </w:rPr>
        <w:t>门、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3393</w:t>
      </w:r>
      <w:r>
        <w:rPr>
          <w:rFonts w:hint="eastAsia" w:ascii="仿宋" w:hAnsi="仿宋" w:eastAsia="仿宋" w:cs="仿宋"/>
          <w:sz w:val="24"/>
          <w:szCs w:val="24"/>
        </w:rPr>
        <w:t>学时、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177.5</w:t>
      </w:r>
      <w:r>
        <w:rPr>
          <w:rFonts w:hint="eastAsia" w:ascii="仿宋" w:hAnsi="仿宋" w:eastAsia="仿宋" w:cs="仿宋"/>
          <w:sz w:val="24"/>
          <w:szCs w:val="24"/>
        </w:rPr>
        <w:t>学分，详见教学进程表。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（二）限选课程：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16</w:t>
      </w:r>
      <w:r>
        <w:rPr>
          <w:rFonts w:hint="eastAsia" w:ascii="仿宋" w:hAnsi="仿宋" w:eastAsia="仿宋" w:cs="仿宋"/>
          <w:sz w:val="24"/>
          <w:szCs w:val="24"/>
        </w:rPr>
        <w:t>学分。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（三）任选课：8学分。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（四）毕业实习（52周，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48</w:t>
      </w:r>
      <w:r>
        <w:rPr>
          <w:rFonts w:hint="eastAsia" w:ascii="仿宋" w:hAnsi="仿宋" w:eastAsia="仿宋" w:cs="仿宋"/>
          <w:sz w:val="24"/>
          <w:szCs w:val="24"/>
        </w:rPr>
        <w:t>学分）</w:t>
      </w:r>
    </w:p>
    <w:p>
      <w:pPr>
        <w:pStyle w:val="17"/>
        <w:tabs>
          <w:tab w:val="left" w:pos="1420"/>
        </w:tabs>
        <w:spacing w:before="52" w:after="26" w:line="288" w:lineRule="auto"/>
        <w:ind w:left="0"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必修实习科目（</w:t>
      </w:r>
      <w:r>
        <w:rPr>
          <w:rFonts w:hint="eastAsia" w:ascii="仿宋" w:hAnsi="仿宋" w:eastAsia="仿宋" w:cs="仿宋"/>
          <w:spacing w:val="-30"/>
          <w:sz w:val="24"/>
          <w:szCs w:val="24"/>
        </w:rPr>
        <w:t>共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7</w:t>
      </w:r>
      <w:r>
        <w:rPr>
          <w:rFonts w:hint="eastAsia" w:ascii="仿宋" w:hAnsi="仿宋" w:eastAsia="仿宋" w:cs="仿宋"/>
          <w:spacing w:val="-20"/>
          <w:sz w:val="24"/>
          <w:szCs w:val="24"/>
        </w:rPr>
        <w:t>门、</w:t>
      </w: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2</w:t>
      </w:r>
      <w:r>
        <w:rPr>
          <w:rFonts w:hint="eastAsia" w:ascii="仿宋" w:hAnsi="仿宋" w:eastAsia="仿宋" w:cs="仿宋"/>
          <w:spacing w:val="-20"/>
          <w:sz w:val="24"/>
          <w:szCs w:val="24"/>
        </w:rPr>
        <w:t>周、</w:t>
      </w:r>
      <w:r>
        <w:rPr>
          <w:rFonts w:hint="eastAsia" w:ascii="仿宋" w:hAnsi="仿宋" w:eastAsia="仿宋" w:cs="仿宋"/>
          <w:spacing w:val="-20"/>
          <w:sz w:val="24"/>
          <w:szCs w:val="24"/>
          <w:lang w:val="en-US"/>
        </w:rPr>
        <w:t>42</w:t>
      </w:r>
      <w:r>
        <w:rPr>
          <w:rFonts w:hint="eastAsia" w:ascii="仿宋" w:hAnsi="仿宋" w:eastAsia="仿宋" w:cs="仿宋"/>
          <w:spacing w:val="-20"/>
          <w:sz w:val="24"/>
          <w:szCs w:val="24"/>
        </w:rPr>
        <w:t>学分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tbl>
      <w:tblPr>
        <w:tblStyle w:val="13"/>
        <w:tblW w:w="90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7"/>
        <w:gridCol w:w="822"/>
        <w:gridCol w:w="962"/>
        <w:gridCol w:w="603"/>
        <w:gridCol w:w="2025"/>
        <w:gridCol w:w="913"/>
        <w:gridCol w:w="152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8"/>
              <w:spacing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科目名称</w:t>
            </w:r>
          </w:p>
        </w:tc>
        <w:tc>
          <w:tcPr>
            <w:tcW w:w="822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周</w:t>
            </w:r>
          </w:p>
        </w:tc>
        <w:tc>
          <w:tcPr>
            <w:tcW w:w="962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学分</w:t>
            </w:r>
          </w:p>
        </w:tc>
        <w:tc>
          <w:tcPr>
            <w:tcW w:w="60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科目名称</w:t>
            </w:r>
          </w:p>
        </w:tc>
        <w:tc>
          <w:tcPr>
            <w:tcW w:w="91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周</w:t>
            </w:r>
          </w:p>
        </w:tc>
        <w:tc>
          <w:tcPr>
            <w:tcW w:w="152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2207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内科</w:t>
            </w:r>
          </w:p>
        </w:tc>
        <w:tc>
          <w:tcPr>
            <w:tcW w:w="822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13</w:t>
            </w:r>
          </w:p>
        </w:tc>
        <w:tc>
          <w:tcPr>
            <w:tcW w:w="962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13</w:t>
            </w:r>
          </w:p>
        </w:tc>
        <w:tc>
          <w:tcPr>
            <w:tcW w:w="603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外科</w:t>
            </w:r>
          </w:p>
        </w:tc>
        <w:tc>
          <w:tcPr>
            <w:tcW w:w="913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12</w:t>
            </w:r>
          </w:p>
        </w:tc>
        <w:tc>
          <w:tcPr>
            <w:tcW w:w="1524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left="122"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sz w:val="24"/>
                <w:szCs w:val="24"/>
                <w:lang w:val="en-US"/>
              </w:rPr>
              <w:t>心血管内科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肝胆外科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left="122"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sz w:val="24"/>
                <w:szCs w:val="24"/>
                <w:lang w:val="en-US"/>
              </w:rPr>
              <w:t>消化内科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胃肠外科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left="122"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sz w:val="24"/>
                <w:szCs w:val="24"/>
                <w:lang w:val="en-US"/>
              </w:rPr>
              <w:t>呼吸内科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其他普通外科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2207" w:type="dxa"/>
            <w:tcBorders>
              <w:top w:val="nil"/>
            </w:tcBorders>
            <w:vAlign w:val="center"/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 xml:space="preserve">    其他内科</w:t>
            </w:r>
          </w:p>
        </w:tc>
        <w:tc>
          <w:tcPr>
            <w:tcW w:w="822" w:type="dxa"/>
            <w:tcBorders>
              <w:top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4</w:t>
            </w:r>
          </w:p>
        </w:tc>
        <w:tc>
          <w:tcPr>
            <w:tcW w:w="962" w:type="dxa"/>
            <w:tcBorders>
              <w:top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4</w:t>
            </w:r>
          </w:p>
        </w:tc>
        <w:tc>
          <w:tcPr>
            <w:tcW w:w="603" w:type="dxa"/>
            <w:tcBorders>
              <w:top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</w:p>
        </w:tc>
        <w:tc>
          <w:tcPr>
            <w:tcW w:w="2025" w:type="dxa"/>
            <w:tcBorders>
              <w:top w:val="nil"/>
            </w:tcBorders>
            <w:vAlign w:val="center"/>
          </w:tcPr>
          <w:p>
            <w:pPr>
              <w:pStyle w:val="18"/>
              <w:spacing w:before="2" w:line="288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其他外科</w:t>
            </w:r>
          </w:p>
        </w:tc>
        <w:tc>
          <w:tcPr>
            <w:tcW w:w="913" w:type="dxa"/>
            <w:tcBorders>
              <w:top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1524" w:type="dxa"/>
            <w:tcBorders>
              <w:top w:val="nil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2207" w:type="dxa"/>
            <w:vAlign w:val="center"/>
          </w:tcPr>
          <w:p>
            <w:pPr>
              <w:pStyle w:val="18"/>
              <w:spacing w:before="1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妇产科</w:t>
            </w:r>
          </w:p>
        </w:tc>
        <w:tc>
          <w:tcPr>
            <w:tcW w:w="822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962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603" w:type="dxa"/>
            <w:vAlign w:val="center"/>
          </w:tcPr>
          <w:p>
            <w:pPr>
              <w:pStyle w:val="18"/>
              <w:spacing w:before="1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pStyle w:val="18"/>
              <w:spacing w:before="1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儿科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1524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2207" w:type="dxa"/>
            <w:vAlign w:val="center"/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急诊科</w:t>
            </w:r>
          </w:p>
        </w:tc>
        <w:tc>
          <w:tcPr>
            <w:tcW w:w="822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962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603" w:type="dxa"/>
            <w:vAlign w:val="center"/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社区卫生</w:t>
            </w:r>
          </w:p>
        </w:tc>
        <w:tc>
          <w:tcPr>
            <w:tcW w:w="913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1524" w:type="dxa"/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2207" w:type="dxa"/>
            <w:tcBorders>
              <w:bottom w:val="single" w:color="000000" w:sz="4" w:space="0"/>
            </w:tcBorders>
            <w:vAlign w:val="center"/>
          </w:tcPr>
          <w:p>
            <w:pPr>
              <w:pStyle w:val="18"/>
              <w:spacing w:before="1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岗前培训</w:t>
            </w:r>
          </w:p>
        </w:tc>
        <w:tc>
          <w:tcPr>
            <w:tcW w:w="822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62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603" w:type="dxa"/>
            <w:tcBorders>
              <w:bottom w:val="single" w:color="000000" w:sz="4" w:space="0"/>
            </w:tcBorders>
            <w:vAlign w:val="center"/>
          </w:tcPr>
          <w:p>
            <w:pPr>
              <w:pStyle w:val="18"/>
              <w:spacing w:line="288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pStyle w:val="18"/>
              <w:spacing w:line="288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</w:p>
        </w:tc>
      </w:tr>
    </w:tbl>
    <w:p>
      <w:pPr>
        <w:pStyle w:val="17"/>
        <w:tabs>
          <w:tab w:val="left" w:pos="1420"/>
        </w:tabs>
        <w:spacing w:before="0" w:after="26" w:line="288" w:lineRule="auto"/>
        <w:ind w:left="0"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选修实习科目（</w:t>
      </w:r>
      <w:r>
        <w:rPr>
          <w:rFonts w:hint="eastAsia" w:ascii="仿宋" w:hAnsi="仿宋" w:eastAsia="仿宋" w:cs="仿宋"/>
          <w:spacing w:val="-30"/>
          <w:sz w:val="24"/>
          <w:szCs w:val="24"/>
        </w:rPr>
        <w:t>选</w:t>
      </w:r>
      <w:r>
        <w:rPr>
          <w:rFonts w:hint="eastAsia" w:ascii="仿宋" w:hAnsi="仿宋" w:eastAsia="仿宋" w:cs="仿宋"/>
          <w:spacing w:val="-40"/>
          <w:sz w:val="24"/>
          <w:szCs w:val="24"/>
          <w:lang w:val="en-US"/>
        </w:rPr>
        <w:t>6周</w:t>
      </w:r>
      <w:r>
        <w:rPr>
          <w:rFonts w:hint="eastAsia" w:ascii="仿宋" w:hAnsi="仿宋" w:eastAsia="仿宋" w:cs="仿宋"/>
          <w:spacing w:val="-18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6</w:t>
      </w:r>
      <w:r>
        <w:rPr>
          <w:rFonts w:hint="eastAsia" w:ascii="仿宋" w:hAnsi="仿宋" w:eastAsia="仿宋" w:cs="仿宋"/>
          <w:spacing w:val="-20"/>
          <w:sz w:val="24"/>
          <w:szCs w:val="24"/>
        </w:rPr>
        <w:t>学分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tbl>
      <w:tblPr>
        <w:tblStyle w:val="13"/>
        <w:tblW w:w="905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9"/>
        <w:gridCol w:w="872"/>
        <w:gridCol w:w="925"/>
        <w:gridCol w:w="603"/>
        <w:gridCol w:w="2063"/>
        <w:gridCol w:w="937"/>
        <w:gridCol w:w="14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216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科目名称</w:t>
            </w:r>
          </w:p>
        </w:tc>
        <w:tc>
          <w:tcPr>
            <w:tcW w:w="872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周</w:t>
            </w:r>
          </w:p>
        </w:tc>
        <w:tc>
          <w:tcPr>
            <w:tcW w:w="92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学分</w:t>
            </w:r>
          </w:p>
        </w:tc>
        <w:tc>
          <w:tcPr>
            <w:tcW w:w="60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18"/>
              <w:spacing w:before="2" w:line="288" w:lineRule="auto"/>
              <w:ind w:left="38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科目名称</w:t>
            </w:r>
          </w:p>
        </w:tc>
        <w:tc>
          <w:tcPr>
            <w:tcW w:w="93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周</w:t>
            </w:r>
          </w:p>
        </w:tc>
        <w:tc>
          <w:tcPr>
            <w:tcW w:w="1488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2169" w:type="dxa"/>
            <w:tcBorders>
              <w:top w:val="single" w:color="000000" w:sz="4" w:space="0"/>
              <w:bottom w:val="nil"/>
            </w:tcBorders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耳鼻咽喉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头颈外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科</w:t>
            </w:r>
          </w:p>
        </w:tc>
        <w:tc>
          <w:tcPr>
            <w:tcW w:w="872" w:type="dxa"/>
            <w:tcBorders>
              <w:top w:val="single" w:color="000000" w:sz="4" w:space="0"/>
              <w:bottom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25" w:type="dxa"/>
            <w:tcBorders>
              <w:top w:val="single" w:color="000000" w:sz="4" w:space="0"/>
              <w:bottom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bottom w:val="nil"/>
            </w:tcBorders>
          </w:tcPr>
          <w:p>
            <w:pPr>
              <w:pStyle w:val="18"/>
              <w:spacing w:before="2" w:line="288" w:lineRule="auto"/>
              <w:ind w:right="68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color="000000" w:sz="4" w:space="0"/>
              <w:bottom w:val="nil"/>
            </w:tcBorders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sz w:val="24"/>
                <w:szCs w:val="24"/>
                <w:lang w:val="en-US"/>
              </w:rPr>
              <w:t>眼科</w:t>
            </w:r>
          </w:p>
        </w:tc>
        <w:tc>
          <w:tcPr>
            <w:tcW w:w="937" w:type="dxa"/>
            <w:tcBorders>
              <w:top w:val="single" w:color="000000" w:sz="4" w:space="0"/>
              <w:bottom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1488" w:type="dxa"/>
            <w:tcBorders>
              <w:top w:val="single" w:color="000000" w:sz="4" w:space="0"/>
              <w:bottom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感染性疾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病科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8"/>
              <w:spacing w:before="2" w:line="288" w:lineRule="auto"/>
              <w:ind w:right="68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8"/>
              <w:spacing w:before="2" w:line="288" w:lineRule="auto"/>
              <w:rPr>
                <w:rStyle w:val="15"/>
                <w:rFonts w:hint="eastAsia" w:ascii="仿宋" w:hAnsi="仿宋" w:eastAsia="仿宋" w:cs="仿宋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神经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科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2169" w:type="dxa"/>
            <w:tcBorders>
              <w:top w:val="nil"/>
            </w:tcBorders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放射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科</w:t>
            </w:r>
          </w:p>
        </w:tc>
        <w:tc>
          <w:tcPr>
            <w:tcW w:w="872" w:type="dxa"/>
            <w:tcBorders>
              <w:top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25" w:type="dxa"/>
            <w:tcBorders>
              <w:top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603" w:type="dxa"/>
            <w:tcBorders>
              <w:top w:val="nil"/>
            </w:tcBorders>
          </w:tcPr>
          <w:p>
            <w:pPr>
              <w:pStyle w:val="18"/>
              <w:spacing w:before="2" w:line="288" w:lineRule="auto"/>
              <w:ind w:right="68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nil"/>
            </w:tcBorders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皮肤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性病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科</w:t>
            </w:r>
          </w:p>
        </w:tc>
        <w:tc>
          <w:tcPr>
            <w:tcW w:w="937" w:type="dxa"/>
            <w:tcBorders>
              <w:top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1488" w:type="dxa"/>
            <w:tcBorders>
              <w:top w:val="nil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2169" w:type="dxa"/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心理卫生科</w:t>
            </w:r>
          </w:p>
        </w:tc>
        <w:tc>
          <w:tcPr>
            <w:tcW w:w="872" w:type="dxa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25" w:type="dxa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603" w:type="dxa"/>
          </w:tcPr>
          <w:p>
            <w:pPr>
              <w:pStyle w:val="18"/>
              <w:spacing w:before="2" w:line="288" w:lineRule="auto"/>
              <w:ind w:right="68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63" w:type="dxa"/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心电诊断科</w:t>
            </w:r>
          </w:p>
        </w:tc>
        <w:tc>
          <w:tcPr>
            <w:tcW w:w="937" w:type="dxa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1488" w:type="dxa"/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2169" w:type="dxa"/>
            <w:tcBorders>
              <w:bottom w:val="single" w:color="000000" w:sz="4" w:space="0"/>
            </w:tcBorders>
          </w:tcPr>
          <w:p>
            <w:pPr>
              <w:pStyle w:val="18"/>
              <w:spacing w:before="2" w:line="288" w:lineRule="auto"/>
              <w:ind w:left="122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超声医学科</w:t>
            </w:r>
          </w:p>
        </w:tc>
        <w:tc>
          <w:tcPr>
            <w:tcW w:w="872" w:type="dxa"/>
            <w:tcBorders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25" w:type="dxa"/>
            <w:tcBorders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603" w:type="dxa"/>
            <w:tcBorders>
              <w:bottom w:val="single" w:color="000000" w:sz="4" w:space="0"/>
            </w:tcBorders>
          </w:tcPr>
          <w:p>
            <w:pPr>
              <w:pStyle w:val="18"/>
              <w:spacing w:before="2" w:line="288" w:lineRule="auto"/>
              <w:ind w:right="68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color="000000" w:sz="4" w:space="0"/>
            </w:tcBorders>
          </w:tcPr>
          <w:p>
            <w:pPr>
              <w:pStyle w:val="18"/>
              <w:spacing w:before="2" w:line="288" w:lineRule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中医科</w:t>
            </w:r>
          </w:p>
        </w:tc>
        <w:tc>
          <w:tcPr>
            <w:tcW w:w="937" w:type="dxa"/>
            <w:tcBorders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1488" w:type="dxa"/>
            <w:tcBorders>
              <w:bottom w:val="single" w:color="000000" w:sz="4" w:space="0"/>
            </w:tcBorders>
          </w:tcPr>
          <w:p>
            <w:pPr>
              <w:widowControl/>
              <w:autoSpaceDE/>
              <w:autoSpaceDN/>
              <w:spacing w:line="288" w:lineRule="auto"/>
              <w:jc w:val="center"/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</w:pPr>
            <w:r>
              <w:rPr>
                <w:rStyle w:val="15"/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bidi="ar-SA"/>
              </w:rPr>
              <w:t>1</w:t>
            </w:r>
          </w:p>
        </w:tc>
      </w:tr>
    </w:tbl>
    <w:p>
      <w:pPr>
        <w:pStyle w:val="6"/>
        <w:spacing w:before="27" w:line="288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Style w:val="15"/>
          <w:rFonts w:hint="eastAsia" w:ascii="仿宋" w:hAnsi="仿宋" w:eastAsia="仿宋" w:cs="仿宋"/>
          <w:b w:val="0"/>
          <w:sz w:val="24"/>
          <w:szCs w:val="24"/>
        </w:rPr>
        <w:t>3．机动4周用于不同生源国学生根据生源国要求进一步选修调整。</w:t>
      </w:r>
    </w:p>
    <w:p>
      <w:pPr>
        <w:pStyle w:val="6"/>
        <w:spacing w:before="27" w:line="288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（五）社会实践（2周，2学分,由国际教育学院认定）</w:t>
      </w:r>
    </w:p>
    <w:p>
      <w:pPr>
        <w:pStyle w:val="6"/>
        <w:spacing w:before="0" w:line="288" w:lineRule="auto"/>
        <w:ind w:lef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社会实践主要包括：义诊、社区健康调查等。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六、学制及修业年限</w:t>
      </w:r>
    </w:p>
    <w:p>
      <w:pPr>
        <w:pStyle w:val="6"/>
        <w:spacing w:line="288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（一）基本学制：6年。</w:t>
      </w:r>
    </w:p>
    <w:p>
      <w:pPr>
        <w:pStyle w:val="6"/>
        <w:spacing w:before="52" w:line="288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（二）修业年限：6～9年。</w:t>
      </w:r>
    </w:p>
    <w:p>
      <w:pPr>
        <w:pStyle w:val="6"/>
        <w:spacing w:before="47" w:line="288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（三）各学年时间安排，见表1</w:t>
      </w:r>
    </w:p>
    <w:p>
      <w:pPr>
        <w:tabs>
          <w:tab w:val="left" w:pos="2760"/>
        </w:tabs>
        <w:spacing w:before="72" w:after="45" w:line="288" w:lineRule="auto"/>
        <w:ind w:firstLine="720" w:firstLineChars="30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表1</w:t>
      </w:r>
      <w:r>
        <w:rPr>
          <w:rFonts w:hint="eastAsia" w:ascii="仿宋" w:hAnsi="仿宋" w:eastAsia="仿宋" w:cs="仿宋"/>
          <w:sz w:val="24"/>
          <w:szCs w:val="24"/>
          <w:lang w:val="en-US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六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</w:rPr>
        <w:t>制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临</w:t>
      </w:r>
      <w:r>
        <w:rPr>
          <w:rFonts w:hint="eastAsia" w:ascii="仿宋" w:hAnsi="仿宋" w:eastAsia="仿宋" w:cs="仿宋"/>
          <w:sz w:val="24"/>
          <w:szCs w:val="24"/>
        </w:rPr>
        <w:t>床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医</w:t>
      </w:r>
      <w:r>
        <w:rPr>
          <w:rFonts w:hint="eastAsia" w:ascii="仿宋" w:hAnsi="仿宋" w:eastAsia="仿宋" w:cs="仿宋"/>
          <w:sz w:val="24"/>
          <w:szCs w:val="24"/>
        </w:rPr>
        <w:t>学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专</w:t>
      </w:r>
      <w:r>
        <w:rPr>
          <w:rFonts w:hint="eastAsia" w:ascii="仿宋" w:hAnsi="仿宋" w:eastAsia="仿宋" w:cs="仿宋"/>
          <w:sz w:val="24"/>
          <w:szCs w:val="24"/>
        </w:rPr>
        <w:t>业（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英</w:t>
      </w:r>
      <w:r>
        <w:rPr>
          <w:rFonts w:hint="eastAsia" w:ascii="仿宋" w:hAnsi="仿宋" w:eastAsia="仿宋" w:cs="仿宋"/>
          <w:sz w:val="24"/>
          <w:szCs w:val="24"/>
        </w:rPr>
        <w:t>语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授</w:t>
      </w:r>
      <w:r>
        <w:rPr>
          <w:rFonts w:hint="eastAsia" w:ascii="仿宋" w:hAnsi="仿宋" w:eastAsia="仿宋" w:cs="仿宋"/>
          <w:sz w:val="24"/>
          <w:szCs w:val="24"/>
        </w:rPr>
        <w:t>课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各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学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时</w:t>
      </w:r>
      <w:r>
        <w:rPr>
          <w:rFonts w:hint="eastAsia" w:ascii="仿宋" w:hAnsi="仿宋" w:eastAsia="仿宋" w:cs="仿宋"/>
          <w:sz w:val="24"/>
          <w:szCs w:val="24"/>
        </w:rPr>
        <w:t>间安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排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单</w:t>
      </w:r>
      <w:r>
        <w:rPr>
          <w:rFonts w:hint="eastAsia" w:ascii="仿宋" w:hAnsi="仿宋" w:eastAsia="仿宋" w:cs="仿宋"/>
          <w:sz w:val="24"/>
          <w:szCs w:val="24"/>
        </w:rPr>
        <w:t>位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周）</w:t>
      </w:r>
    </w:p>
    <w:tbl>
      <w:tblPr>
        <w:tblStyle w:val="13"/>
        <w:tblW w:w="889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1185"/>
        <w:gridCol w:w="1020"/>
        <w:gridCol w:w="1320"/>
        <w:gridCol w:w="1080"/>
        <w:gridCol w:w="1020"/>
        <w:gridCol w:w="2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245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学年</w:t>
            </w:r>
          </w:p>
        </w:tc>
        <w:tc>
          <w:tcPr>
            <w:tcW w:w="1185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教学</w:t>
            </w:r>
          </w:p>
        </w:tc>
        <w:tc>
          <w:tcPr>
            <w:tcW w:w="1020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</w:p>
        </w:tc>
        <w:tc>
          <w:tcPr>
            <w:tcW w:w="1320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毕业实习</w:t>
            </w:r>
          </w:p>
        </w:tc>
        <w:tc>
          <w:tcPr>
            <w:tcW w:w="1080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机动</w:t>
            </w:r>
          </w:p>
        </w:tc>
        <w:tc>
          <w:tcPr>
            <w:tcW w:w="1020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假期</w:t>
            </w:r>
          </w:p>
        </w:tc>
        <w:tc>
          <w:tcPr>
            <w:tcW w:w="2025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245" w:type="dxa"/>
            <w:tcBorders>
              <w:top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</w:t>
            </w:r>
          </w:p>
        </w:tc>
        <w:tc>
          <w:tcPr>
            <w:tcW w:w="1185" w:type="dxa"/>
            <w:tcBorders>
              <w:top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</w:t>
            </w:r>
          </w:p>
        </w:tc>
        <w:tc>
          <w:tcPr>
            <w:tcW w:w="1020" w:type="dxa"/>
            <w:tcBorders>
              <w:top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1020" w:type="dxa"/>
            <w:tcBorders>
              <w:top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2025" w:type="dxa"/>
            <w:tcBorders>
              <w:top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124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</w:t>
            </w:r>
          </w:p>
        </w:tc>
        <w:tc>
          <w:tcPr>
            <w:tcW w:w="118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202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124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</w:t>
            </w:r>
          </w:p>
        </w:tc>
        <w:tc>
          <w:tcPr>
            <w:tcW w:w="118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202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24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</w:t>
            </w:r>
          </w:p>
        </w:tc>
        <w:tc>
          <w:tcPr>
            <w:tcW w:w="118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202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24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</w:t>
            </w:r>
          </w:p>
        </w:tc>
        <w:tc>
          <w:tcPr>
            <w:tcW w:w="118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108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02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24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六</w:t>
            </w:r>
          </w:p>
        </w:tc>
        <w:tc>
          <w:tcPr>
            <w:tcW w:w="118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-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</w:t>
            </w:r>
          </w:p>
        </w:tc>
        <w:tc>
          <w:tcPr>
            <w:tcW w:w="108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2025" w:type="dxa"/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245" w:type="dxa"/>
            <w:tcBorders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1185" w:type="dxa"/>
            <w:tcBorders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151</w:t>
            </w:r>
          </w:p>
        </w:tc>
        <w:tc>
          <w:tcPr>
            <w:tcW w:w="1020" w:type="dxa"/>
            <w:tcBorders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</w:t>
            </w:r>
          </w:p>
        </w:tc>
        <w:tc>
          <w:tcPr>
            <w:tcW w:w="1320" w:type="dxa"/>
            <w:tcBorders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</w:t>
            </w:r>
          </w:p>
        </w:tc>
        <w:tc>
          <w:tcPr>
            <w:tcW w:w="1080" w:type="dxa"/>
            <w:tcBorders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61</w:t>
            </w:r>
          </w:p>
        </w:tc>
        <w:tc>
          <w:tcPr>
            <w:tcW w:w="2025" w:type="dxa"/>
            <w:tcBorders>
              <w:bottom w:val="single" w:color="000000" w:sz="8" w:space="0"/>
            </w:tcBorders>
            <w:vAlign w:val="center"/>
          </w:tcPr>
          <w:p>
            <w:pPr>
              <w:pStyle w:val="18"/>
              <w:spacing w:before="1" w:line="28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302</w:t>
            </w:r>
          </w:p>
        </w:tc>
      </w:tr>
    </w:tbl>
    <w:p>
      <w:pPr>
        <w:spacing w:before="47" w:line="288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注：技能培训安排在1-8学期进行；机动包括入学培训、社会实践、毕业考试等其他环节。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七、毕业与学位</w:t>
      </w:r>
    </w:p>
    <w:p>
      <w:pPr>
        <w:pStyle w:val="6"/>
        <w:spacing w:before="0" w:line="288" w:lineRule="auto"/>
        <w:ind w:lef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在学校规定修业年限内，修完全部必修课程并成绩合格，限选课程修满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16</w:t>
      </w:r>
      <w:r>
        <w:rPr>
          <w:rFonts w:hint="eastAsia" w:ascii="仿宋" w:hAnsi="仿宋" w:eastAsia="仿宋" w:cs="仿宋"/>
          <w:sz w:val="24"/>
          <w:szCs w:val="24"/>
        </w:rPr>
        <w:t>学分，任选课修满8学分，通过毕业实习、社会实践、创新创业素质拓展等实践教学环节，总学分达</w:t>
      </w:r>
      <w:r>
        <w:rPr>
          <w:rFonts w:hint="eastAsia" w:ascii="仿宋" w:hAnsi="仿宋" w:eastAsia="仿宋" w:cs="仿宋"/>
          <w:sz w:val="24"/>
          <w:szCs w:val="24"/>
          <w:lang w:val="en-US"/>
        </w:rPr>
        <w:t>254.5</w:t>
      </w:r>
      <w:r>
        <w:rPr>
          <w:rFonts w:hint="eastAsia" w:ascii="仿宋" w:hAnsi="仿宋" w:eastAsia="仿宋" w:cs="仿宋"/>
          <w:sz w:val="24"/>
          <w:szCs w:val="24"/>
        </w:rPr>
        <w:t>学分；通过综合考试（包括基础课综合考试、专业课综合考试和毕业综合考试）。符合《广西医科大学学生学籍管理规定》中的毕业条件的准予毕业，符合《广西医科大学授予学士学位工作细则》学士学位条件的授予医学学士学位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八、毕业去向</w:t>
      </w:r>
    </w:p>
    <w:p>
      <w:pPr>
        <w:pStyle w:val="6"/>
        <w:spacing w:before="0" w:line="288" w:lineRule="auto"/>
        <w:ind w:lef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年制（英语授课）临床医学专业毕业生具有系统的医学基础理论和熟练的专业技能，可到来源国及西方发达国家各级医疗卫生、教育、医学研究等相关领域从事医疗、教学和科研工作；可继续攻读硕士研究生学位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九、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教学进程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 w:val="0"/>
        <w:spacing w:before="0" w:line="340" w:lineRule="exact"/>
        <w:ind w:lef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六年制临床医学专业（全英授课）课程体系对培养要求指标点支撑矩阵</w:t>
      </w:r>
    </w:p>
    <w:p>
      <w:pPr>
        <w:pStyle w:val="6"/>
        <w:spacing w:before="0" w:line="288" w:lineRule="auto"/>
        <w:ind w:left="0"/>
        <w:rPr>
          <w:rFonts w:hint="eastAsia" w:ascii="仿宋" w:hAnsi="仿宋" w:eastAsia="仿宋" w:cs="仿宋"/>
          <w:b/>
          <w:bCs/>
          <w:sz w:val="24"/>
          <w:szCs w:val="24"/>
        </w:rPr>
        <w:sectPr>
          <w:footerReference r:id="rId3" w:type="default"/>
          <w:footerReference r:id="rId4" w:type="even"/>
          <w:pgSz w:w="11900" w:h="16840"/>
          <w:pgMar w:top="1134" w:right="1417" w:bottom="1134" w:left="1417" w:header="0" w:footer="499" w:gutter="0"/>
          <w:cols w:space="720" w:num="1"/>
        </w:sectPr>
      </w:pPr>
    </w:p>
    <w:tbl>
      <w:tblPr>
        <w:tblStyle w:val="13"/>
        <w:tblW w:w="15825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458"/>
        <w:gridCol w:w="518"/>
        <w:gridCol w:w="1858"/>
        <w:gridCol w:w="503"/>
        <w:gridCol w:w="503"/>
        <w:gridCol w:w="503"/>
        <w:gridCol w:w="503"/>
        <w:gridCol w:w="503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7" w:type="dxa"/>
            <w:gridSpan w:val="29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bidi="ar"/>
              </w:rPr>
              <w:t>六年制临床医学专业（全英授课）课程体系对培养要求指标点支撑矩阵图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课程模块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序号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课程名称</w:t>
            </w:r>
          </w:p>
        </w:tc>
        <w:tc>
          <w:tcPr>
            <w:tcW w:w="56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思想道德与职业素质方面</w:t>
            </w:r>
          </w:p>
        </w:tc>
        <w:tc>
          <w:tcPr>
            <w:tcW w:w="567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知识与技能方面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1.11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2.13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lang w:val="en-US" w:bidi="ar"/>
              </w:rPr>
              <w:t>2.14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基础阶段必修课程</w:t>
            </w:r>
          </w:p>
        </w:tc>
        <w:tc>
          <w:tcPr>
            <w:tcW w:w="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思想修养．人文素质．行为科学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体育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汉语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医学汉语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中国概况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限选课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医学伦理学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医学心理学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生物医学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细胞生物学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6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系统解剖学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7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组织学与胚胎学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生理学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9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生物化学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10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医学免疫学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病理学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医学遗传学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医学微生物学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药理学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病理生理学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16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局部解剖学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17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人体寄生虫学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法医学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自然科学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19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基础化学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20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医用物理学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高等数学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有机化学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公共卫生与 科研方法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医学统计学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流行病学与循证医学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预防医学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26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社会医学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临床阶段必修课程</w:t>
            </w:r>
          </w:p>
        </w:tc>
        <w:tc>
          <w:tcPr>
            <w:tcW w:w="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临 床  医 学 课 程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27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全科医学概论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诊断学(含实验诊断学)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29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外科学总论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30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医学影像学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内科学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传染病学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神经病学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儿科学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外科学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36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妇产科学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37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临床技能学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限选课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老年医学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口腔科学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耳鼻咽喉科学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精神病学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眼科学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麻醉学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皮肤性病学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肿瘤学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中医学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任选课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人文社会科学、素质教育通识课程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医学社会学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神经生物学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生物物理学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6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生物信息学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7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卫生事业管理学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8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老龄化与全球健康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M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9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健康教育与健康促进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10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妇幼与儿少卫生学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L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11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临床肿瘤学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12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物理治疗学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13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放射治疗学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93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14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临床药学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bidi="ar"/>
              </w:rPr>
              <w:t>H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</w:tr>
    </w:tbl>
    <w:p>
      <w:pPr>
        <w:pStyle w:val="6"/>
        <w:spacing w:before="1" w:line="288" w:lineRule="auto"/>
        <w:ind w:left="0"/>
        <w:rPr>
          <w:rFonts w:hint="eastAsia" w:ascii="仿宋" w:hAnsi="仿宋" w:eastAsia="仿宋" w:cs="仿宋"/>
          <w:sz w:val="18"/>
          <w:szCs w:val="18"/>
          <w:lang w:val="en-US"/>
        </w:rPr>
      </w:pPr>
      <w:bookmarkStart w:id="4" w:name="_bookmark9"/>
      <w:bookmarkEnd w:id="4"/>
    </w:p>
    <w:sectPr>
      <w:pgSz w:w="16840" w:h="11900" w:orient="landscape"/>
      <w:pgMar w:top="567" w:right="567" w:bottom="567" w:left="567" w:header="0" w:footer="49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A3C09D-F2F6-4757-B61B-D01490128F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B855BE2-EA06-40D8-A9AE-5D89A9B98BA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A6D817B-1B25-44F9-8E0F-1C6EDCFD92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before="0"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before="0" w:line="14" w:lineRule="auto"/>
      <w:ind w:left="0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95CE43"/>
    <w:multiLevelType w:val="multilevel"/>
    <w:tmpl w:val="D295CE43"/>
    <w:lvl w:ilvl="0" w:tentative="0">
      <w:start w:val="1"/>
      <w:numFmt w:val="decimal"/>
      <w:suff w:val="nothing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F0193105"/>
    <w:multiLevelType w:val="multilevel"/>
    <w:tmpl w:val="F0193105"/>
    <w:lvl w:ilvl="0" w:tentative="0">
      <w:start w:val="1"/>
      <w:numFmt w:val="decimal"/>
      <w:suff w:val="nothing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720"/>
  <w:evenAndOddHeaders w:val="1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diNzE0ZDQwNDUyMmVjZDBmYWJmOTZiMGIzNThkZDEifQ=="/>
  </w:docVars>
  <w:rsids>
    <w:rsidRoot w:val="005C4E31"/>
    <w:rsid w:val="00173068"/>
    <w:rsid w:val="001A7C6A"/>
    <w:rsid w:val="001F7F7E"/>
    <w:rsid w:val="002A6E3A"/>
    <w:rsid w:val="003F0BFB"/>
    <w:rsid w:val="004306EE"/>
    <w:rsid w:val="004A14C4"/>
    <w:rsid w:val="00576D32"/>
    <w:rsid w:val="005C4E31"/>
    <w:rsid w:val="005F63DF"/>
    <w:rsid w:val="00606DB8"/>
    <w:rsid w:val="006B2345"/>
    <w:rsid w:val="007848BC"/>
    <w:rsid w:val="007B548E"/>
    <w:rsid w:val="00877684"/>
    <w:rsid w:val="00963D88"/>
    <w:rsid w:val="00A7258E"/>
    <w:rsid w:val="00A84B50"/>
    <w:rsid w:val="00B326AC"/>
    <w:rsid w:val="00CB12C3"/>
    <w:rsid w:val="00CD7725"/>
    <w:rsid w:val="00D3546E"/>
    <w:rsid w:val="00E47830"/>
    <w:rsid w:val="00EB538E"/>
    <w:rsid w:val="023B1F24"/>
    <w:rsid w:val="027A419F"/>
    <w:rsid w:val="02AA4005"/>
    <w:rsid w:val="04AE5CD0"/>
    <w:rsid w:val="04D17D22"/>
    <w:rsid w:val="054364BD"/>
    <w:rsid w:val="05C76B77"/>
    <w:rsid w:val="07642047"/>
    <w:rsid w:val="09472AA7"/>
    <w:rsid w:val="094A437A"/>
    <w:rsid w:val="0DA26AB7"/>
    <w:rsid w:val="0F6C7D5B"/>
    <w:rsid w:val="102B7FDE"/>
    <w:rsid w:val="11A40DB1"/>
    <w:rsid w:val="1373422A"/>
    <w:rsid w:val="13DD5D2E"/>
    <w:rsid w:val="144C67D2"/>
    <w:rsid w:val="18DD6FC3"/>
    <w:rsid w:val="18FB3316"/>
    <w:rsid w:val="1A7016AA"/>
    <w:rsid w:val="1AF06347"/>
    <w:rsid w:val="1B09465D"/>
    <w:rsid w:val="1B316200"/>
    <w:rsid w:val="1B83626B"/>
    <w:rsid w:val="1D5B508A"/>
    <w:rsid w:val="1F3E7015"/>
    <w:rsid w:val="1FD45272"/>
    <w:rsid w:val="1FE30229"/>
    <w:rsid w:val="20100827"/>
    <w:rsid w:val="21FC350F"/>
    <w:rsid w:val="22682ACB"/>
    <w:rsid w:val="235C3345"/>
    <w:rsid w:val="24456785"/>
    <w:rsid w:val="24B41C08"/>
    <w:rsid w:val="269D59C3"/>
    <w:rsid w:val="28CA2E4B"/>
    <w:rsid w:val="29A62658"/>
    <w:rsid w:val="29FD6C2B"/>
    <w:rsid w:val="2AA902C1"/>
    <w:rsid w:val="2ACB6C39"/>
    <w:rsid w:val="2BDE4ED3"/>
    <w:rsid w:val="2E6E244C"/>
    <w:rsid w:val="2F572C17"/>
    <w:rsid w:val="2F690C30"/>
    <w:rsid w:val="2F897B3C"/>
    <w:rsid w:val="30FF0C3A"/>
    <w:rsid w:val="329C7B57"/>
    <w:rsid w:val="33896EE1"/>
    <w:rsid w:val="38AE3672"/>
    <w:rsid w:val="3ACB1C3A"/>
    <w:rsid w:val="3C1847D2"/>
    <w:rsid w:val="3D0228C2"/>
    <w:rsid w:val="3F7F373A"/>
    <w:rsid w:val="3FE62F46"/>
    <w:rsid w:val="40786884"/>
    <w:rsid w:val="440A1978"/>
    <w:rsid w:val="444B1782"/>
    <w:rsid w:val="44650546"/>
    <w:rsid w:val="44732AFB"/>
    <w:rsid w:val="44A74975"/>
    <w:rsid w:val="453463BD"/>
    <w:rsid w:val="47AC3363"/>
    <w:rsid w:val="48013092"/>
    <w:rsid w:val="48712F45"/>
    <w:rsid w:val="4A2A5098"/>
    <w:rsid w:val="4A4060F4"/>
    <w:rsid w:val="4A5334F5"/>
    <w:rsid w:val="4A7F694B"/>
    <w:rsid w:val="4C8D6FAC"/>
    <w:rsid w:val="4CDA2572"/>
    <w:rsid w:val="4DC22D80"/>
    <w:rsid w:val="4DFE1003"/>
    <w:rsid w:val="4E4168DE"/>
    <w:rsid w:val="4E8C0B33"/>
    <w:rsid w:val="4F3944DB"/>
    <w:rsid w:val="4FE64155"/>
    <w:rsid w:val="4FF81E11"/>
    <w:rsid w:val="50493828"/>
    <w:rsid w:val="50923421"/>
    <w:rsid w:val="528B2534"/>
    <w:rsid w:val="532B4DA8"/>
    <w:rsid w:val="56BB275F"/>
    <w:rsid w:val="56CC226B"/>
    <w:rsid w:val="572D5C52"/>
    <w:rsid w:val="57FE78C9"/>
    <w:rsid w:val="59C535A6"/>
    <w:rsid w:val="59D12179"/>
    <w:rsid w:val="5C07660D"/>
    <w:rsid w:val="5D3C099D"/>
    <w:rsid w:val="5E8C508E"/>
    <w:rsid w:val="5F8F6B6E"/>
    <w:rsid w:val="608F71CD"/>
    <w:rsid w:val="60C211B9"/>
    <w:rsid w:val="617422C7"/>
    <w:rsid w:val="62B611F1"/>
    <w:rsid w:val="62F13FD7"/>
    <w:rsid w:val="651B2838"/>
    <w:rsid w:val="652E68CB"/>
    <w:rsid w:val="65D521FE"/>
    <w:rsid w:val="65E074EE"/>
    <w:rsid w:val="6769598F"/>
    <w:rsid w:val="69C83EE3"/>
    <w:rsid w:val="6C984D1C"/>
    <w:rsid w:val="6D4751F4"/>
    <w:rsid w:val="6E4A0A40"/>
    <w:rsid w:val="6F1243D6"/>
    <w:rsid w:val="70C311BE"/>
    <w:rsid w:val="71F70190"/>
    <w:rsid w:val="738535D5"/>
    <w:rsid w:val="73DF31E8"/>
    <w:rsid w:val="758331B5"/>
    <w:rsid w:val="784F3822"/>
    <w:rsid w:val="78D92BEB"/>
    <w:rsid w:val="78FD6EEC"/>
    <w:rsid w:val="79D60CE3"/>
    <w:rsid w:val="79E078DE"/>
    <w:rsid w:val="7AD4000F"/>
    <w:rsid w:val="7B3804CF"/>
    <w:rsid w:val="7DC600E3"/>
    <w:rsid w:val="7E006C88"/>
    <w:rsid w:val="7E852105"/>
    <w:rsid w:val="7F1D01D6"/>
    <w:rsid w:val="7F69278B"/>
    <w:rsid w:val="7F9E41F4"/>
    <w:rsid w:val="7FCD3F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1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99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8"/>
      <w:ind w:left="1355" w:right="1355"/>
      <w:jc w:val="center"/>
      <w:outlineLvl w:val="0"/>
    </w:pPr>
    <w:rPr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766" w:right="1777"/>
      <w:jc w:val="center"/>
      <w:outlineLvl w:val="1"/>
    </w:pPr>
    <w:rPr>
      <w:b/>
      <w:bCs/>
      <w:sz w:val="30"/>
      <w:szCs w:val="30"/>
    </w:rPr>
  </w:style>
  <w:style w:type="paragraph" w:styleId="4">
    <w:name w:val="heading 3"/>
    <w:basedOn w:val="1"/>
    <w:next w:val="1"/>
    <w:qFormat/>
    <w:uiPriority w:val="1"/>
    <w:pPr>
      <w:ind w:left="115"/>
      <w:jc w:val="both"/>
      <w:outlineLvl w:val="2"/>
    </w:pPr>
    <w:rPr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qFormat/>
    <w:uiPriority w:val="1"/>
    <w:pPr>
      <w:spacing w:before="53"/>
      <w:ind w:left="598"/>
    </w:pPr>
    <w:rPr>
      <w:sz w:val="24"/>
      <w:szCs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1"/>
    <w:pPr>
      <w:spacing w:before="293"/>
      <w:ind w:left="118"/>
    </w:pPr>
    <w:rPr>
      <w:sz w:val="24"/>
      <w:szCs w:val="24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</w:pPr>
    <w:rPr>
      <w:sz w:val="24"/>
    </w:rPr>
  </w:style>
  <w:style w:type="paragraph" w:styleId="12">
    <w:name w:val="Body Text First Indent"/>
    <w:basedOn w:val="6"/>
    <w:qFormat/>
    <w:uiPriority w:val="99"/>
    <w:pPr>
      <w:ind w:firstLine="420" w:firstLineChars="100"/>
    </w:pPr>
  </w:style>
  <w:style w:type="character" w:styleId="15">
    <w:name w:val="Strong"/>
    <w:qFormat/>
    <w:uiPriority w:val="99"/>
    <w:rPr>
      <w:rFonts w:cs="Times New Roman"/>
      <w:b/>
      <w:bCs/>
    </w:r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spacing w:before="53"/>
      <w:ind w:left="118" w:firstLine="480"/>
    </w:pPr>
  </w:style>
  <w:style w:type="paragraph" w:customStyle="1" w:styleId="18">
    <w:name w:val="Table Paragraph"/>
    <w:basedOn w:val="1"/>
    <w:qFormat/>
    <w:uiPriority w:val="1"/>
  </w:style>
  <w:style w:type="character" w:customStyle="1" w:styleId="19">
    <w:name w:val="批注框文本 Char"/>
    <w:basedOn w:val="14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20">
    <w:name w:val="页眉 Char"/>
    <w:basedOn w:val="14"/>
    <w:link w:val="9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21">
    <w:name w:val="页脚 Char"/>
    <w:basedOn w:val="14"/>
    <w:link w:val="8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paragraph" w:customStyle="1" w:styleId="22">
    <w:name w:val="修订1"/>
    <w:hidden/>
    <w:unhideWhenUsed/>
    <w:qFormat/>
    <w:uiPriority w:val="99"/>
    <w:rPr>
      <w:rFonts w:ascii="宋体" w:hAnsi="宋体" w:eastAsia="宋体" w:cs="宋体"/>
      <w:sz w:val="22"/>
      <w:szCs w:val="2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807</Words>
  <Characters>4600</Characters>
  <Lines>38</Lines>
  <Paragraphs>10</Paragraphs>
  <TotalTime>91</TotalTime>
  <ScaleCrop>false</ScaleCrop>
  <LinksUpToDate>false</LinksUpToDate>
  <CharactersWithSpaces>5397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2022-10-19T08:10:00Z</dcterms:created>
  <dc:creator>star</dc:creator>
  <cp:lastModifiedBy>毛星宁</cp:lastModifiedBy>
  <dcterms:modified xsi:type="dcterms:W3CDTF">2023-07-23T09:05:24Z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Microsoft® Word 适用于 Microsoft 365</vt:lpwstr>
  </property>
  <property fmtid="{D5CDD505-2E9C-101B-9397-08002B2CF9AE}" pid="4" name="LastSaved">
    <vt:filetime>2022-10-19T00:00:00Z</vt:filetime>
  </property>
  <property fmtid="{D5CDD505-2E9C-101B-9397-08002B2CF9AE}" pid="5" name="KSOProductBuildVer">
    <vt:lpwstr>2052-12.1.0.15120</vt:lpwstr>
  </property>
  <property fmtid="{D5CDD505-2E9C-101B-9397-08002B2CF9AE}" pid="6" name="ICV">
    <vt:lpwstr>4375A2E75D394242B6CF154728C96927</vt:lpwstr>
  </property>
</Properties>
</file>